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A832E" w14:textId="77777777" w:rsidR="00716F55" w:rsidRDefault="00716F55">
      <w:pPr>
        <w:pStyle w:val="Standard"/>
        <w:rPr>
          <w:rFonts w:hint="eastAsia"/>
          <w:b/>
          <w:bCs/>
        </w:rPr>
      </w:pPr>
    </w:p>
    <w:p w14:paraId="31977505" w14:textId="77777777" w:rsidR="00716F55" w:rsidRDefault="00716F55">
      <w:pPr>
        <w:pStyle w:val="Standard"/>
        <w:rPr>
          <w:rFonts w:hint="eastAsia"/>
          <w:b/>
          <w:bCs/>
        </w:rPr>
      </w:pPr>
    </w:p>
    <w:p w14:paraId="1A711D95" w14:textId="77777777" w:rsidR="00716F55" w:rsidRDefault="00000000">
      <w:pPr>
        <w:pStyle w:val="Standard"/>
        <w:jc w:val="center"/>
        <w:rPr>
          <w:rFonts w:hint="eastAsia"/>
          <w:b/>
          <w:bCs/>
          <w:sz w:val="28"/>
          <w:szCs w:val="28"/>
        </w:rPr>
      </w:pPr>
      <w:r>
        <w:rPr>
          <w:b/>
          <w:bCs/>
          <w:sz w:val="28"/>
          <w:szCs w:val="28"/>
        </w:rPr>
        <w:t>Michel Méaille</w:t>
      </w:r>
    </w:p>
    <w:p w14:paraId="00888BAA" w14:textId="77777777" w:rsidR="00716F55" w:rsidRDefault="00000000">
      <w:pPr>
        <w:pStyle w:val="Standard"/>
        <w:jc w:val="center"/>
        <w:rPr>
          <w:rFonts w:hint="eastAsia"/>
          <w:b/>
          <w:bCs/>
          <w:sz w:val="28"/>
          <w:szCs w:val="28"/>
        </w:rPr>
      </w:pPr>
      <w:r>
        <w:rPr>
          <w:b/>
          <w:bCs/>
          <w:sz w:val="28"/>
          <w:szCs w:val="28"/>
        </w:rPr>
        <w:t>(15 mars 1935-16 mars 2025)</w:t>
      </w:r>
    </w:p>
    <w:p w14:paraId="1162A485" w14:textId="77777777" w:rsidR="00716F55" w:rsidRDefault="00716F55">
      <w:pPr>
        <w:pStyle w:val="Standard"/>
        <w:jc w:val="center"/>
        <w:rPr>
          <w:rFonts w:hint="eastAsia"/>
          <w:b/>
          <w:bCs/>
          <w:sz w:val="28"/>
          <w:szCs w:val="28"/>
        </w:rPr>
      </w:pPr>
    </w:p>
    <w:p w14:paraId="104E38CB" w14:textId="77777777" w:rsidR="00716F55" w:rsidRDefault="00000000">
      <w:pPr>
        <w:pStyle w:val="Standard"/>
        <w:jc w:val="both"/>
        <w:rPr>
          <w:rFonts w:hint="eastAsia"/>
        </w:rPr>
      </w:pPr>
      <w:r>
        <w:t>Michel Méaille, qui fut directeur de l’Institut national de recherches et d’applications pédagogiques (INRAP) du ministère de l’Agriculture de 1975 à 1985, est décédé le 16 mars 2025 à 90 ans. Son nom et son action sont indissociables de l’INRAP, l’institution qui fournit tant de matériaux à la « rénovation » de l’enseignement agricole impulsée par le ministre Michel Rocard et le directeur général de l’enseignement et de la recherche Michel Gervais à partir de 1983.</w:t>
      </w:r>
    </w:p>
    <w:p w14:paraId="23E584C0" w14:textId="77777777" w:rsidR="00716F55" w:rsidRDefault="00000000">
      <w:pPr>
        <w:pStyle w:val="Standard"/>
        <w:spacing w:before="120"/>
        <w:jc w:val="both"/>
        <w:rPr>
          <w:rFonts w:hint="eastAsia"/>
        </w:rPr>
      </w:pPr>
      <w:r>
        <w:t xml:space="preserve">Il est né le 15 mars 1935 à Bezons, loin de la campagne et de l’agriculture. Il entra pourtant à l’École supérieure d’agriculture de Rennes en 1957 ; ingénieur agricole en 1960, il intègre l’École nationale supérieure des sciences agronomiques appliquées (ENSSAA) et en sort ingénieur des services agricoles en 1962, puis intègre le corps des ingénieurs d’agronomie, créé par le décret du 4 juin 1965. Dans la dynamique des lois de 1960 qui réforment l’agriculture française et l’enseignement agricole, il est nommé en 1962 à l’école régionale de Crézancy où il enseigne la zootechnie, puis à Neuvic dans les fonctions de directeur adjoint et enfin à </w:t>
      </w:r>
      <w:proofErr w:type="spellStart"/>
      <w:r>
        <w:t>Chateau-Salins</w:t>
      </w:r>
      <w:proofErr w:type="spellEnd"/>
      <w:r>
        <w:t>, l’école régionale fondée par Guillaume II, qu’il dirige jusqu’à la rentrée de 1975, lorsqu’il succède à Maurice Marchal le créateur de l’INRAP. Passionné par la société rurale, les pratiques agraires et le destin des agriculteurs, Michel Méaille s’était forgé la grande ambition de contribuer à l’amélioration de leur situation par la formation et l’éducation. Sa carrière d’ingénieur des services agricoles, d’ingénieur d’agronomie, d’ingénieur général d’agronomie s’inscrit donc dans le grand mouvement de modernisation de l’agriculture bousculée par la nouvelle Politique agricole commune de 1962. La dénomination du corps d’ingénieurs de l’État dans lequel il était entré, à la charnière de deux époques décisives pour l’agriculture française, reflète les avatars d’un corps de fonctionnaires ballotté dans des transformations techniques, économiques et sociales qui remettaient périodiquement en question ses missions, son action, quand ce n’était pas son existence même.</w:t>
      </w:r>
    </w:p>
    <w:p w14:paraId="37227009" w14:textId="77777777" w:rsidR="00716F55" w:rsidRDefault="00000000">
      <w:pPr>
        <w:pStyle w:val="Standard"/>
        <w:spacing w:before="120"/>
        <w:jc w:val="both"/>
        <w:rPr>
          <w:rFonts w:hint="eastAsia"/>
        </w:rPr>
      </w:pPr>
      <w:r>
        <w:t xml:space="preserve">Son arrivée à l’INRAP provoqua interrogations, sinon inquiétudes chez ceux qui avaient forgé la première image de l’Institut, « maison des enseignants » et craignaient l’abandon de la grande liberté laissée par M. Marchal – et la DGER – dans la conduite des actions de formation continue et dans la définition des stratégies d’innovation pédagogique : l’esprit de mai 1968 était toujours actif. Inquiétudes qui se révélèrent rapidement vaines, M. </w:t>
      </w:r>
      <w:proofErr w:type="spellStart"/>
      <w:r>
        <w:t>Méaille</w:t>
      </w:r>
      <w:proofErr w:type="spellEnd"/>
      <w:r>
        <w:t xml:space="preserve"> inscrivant son action dans la suite de celle de son prédécesseur. Dès lors, il encouragea les initiatives qui allaient dans le sens d’une transformation des pratiques pédagogiques routinisées héritées des anciennes écoles régionales d’agriculture, parfois importées dans les nouveaux lycées et collèges agricoles à la suite de programmes d’enseignement encyclopédiques et d’examens tout aussi routiniers.</w:t>
      </w:r>
    </w:p>
    <w:p w14:paraId="3F30E6E5" w14:textId="77777777" w:rsidR="00716F55" w:rsidRDefault="00000000">
      <w:pPr>
        <w:pStyle w:val="Standard"/>
        <w:spacing w:before="120"/>
        <w:jc w:val="both"/>
        <w:rPr>
          <w:rFonts w:hint="eastAsia"/>
        </w:rPr>
      </w:pPr>
      <w:r>
        <w:t xml:space="preserve">Un premier déclic intervint dès octobre 1975, avec une commande du chef de service de l’enseignement technique relative au diplôme de BTA à options qui était un échec total. L. Vaillant souhaitait « des conclusions sur les points suivants : finalités et esprit de la formation, programmes à appliquer, pédagogie à mettre en œuvre, structures d’examen et de contrôle à établir ». Le débat fut vif entre partisans des stages disciplinaires habituels et une petite minorité prompte à saisir l’occasion de construire un véritable dispositif englobant l’ensemble des aspects et débouchant potentiellement sur une transformation du système. La négociation, habilement conduite par M. </w:t>
      </w:r>
      <w:proofErr w:type="spellStart"/>
      <w:r>
        <w:t>Méaille</w:t>
      </w:r>
      <w:proofErr w:type="spellEnd"/>
      <w:r>
        <w:t xml:space="preserve">, déboucha sur un compromis qui donnait satisfaction à tous, et engageait l’INRAP sur le chemin d’une rénovation profonde de l’enseignement agricole. Ce sera la grande aventure de </w:t>
      </w:r>
      <w:proofErr w:type="spellStart"/>
      <w:r>
        <w:t>FoCEA</w:t>
      </w:r>
      <w:proofErr w:type="spellEnd"/>
      <w:r>
        <w:t>, la formation des chefs d’exploitation agricole (1976-1980) qui forgea l’image de l’INRAP porteur d’innovation.</w:t>
      </w:r>
    </w:p>
    <w:p w14:paraId="5216A459" w14:textId="77777777" w:rsidR="00716F55" w:rsidRDefault="00000000">
      <w:pPr>
        <w:pStyle w:val="Standard"/>
        <w:spacing w:before="120"/>
        <w:jc w:val="both"/>
        <w:rPr>
          <w:rFonts w:hint="eastAsia"/>
        </w:rPr>
      </w:pPr>
      <w:r>
        <w:lastRenderedPageBreak/>
        <w:t xml:space="preserve">En 1978, le nouveau directeur général de l’enseignement et de la recherche, Louis Malassis – qui avait eu M. Méaille comme élève à Rennes - lança un projet de transformation complète du dispositif qui déboucha sur la publication de la </w:t>
      </w:r>
      <w:r>
        <w:rPr>
          <w:i/>
          <w:iCs/>
        </w:rPr>
        <w:t>directive sur la formation, la recherche, l’expérimentation et la diffusion du progrès</w:t>
      </w:r>
      <w:r>
        <w:t xml:space="preserve"> le 11 juin 1980. L’INRAP et son directeur avaient apporté des contributions décisives à l’élaboration de ce document et à la préparation d’un colloque réuni à Grignon (octobre 1979) pour présenter les grandes lignes de ce qui deviendra « la filière du progrès ». Le projet reprenait nombre de propositions en accord avec les intuitions voire les projets en gestation que l’équipe INRAP élaborait dans les foulées de </w:t>
      </w:r>
      <w:proofErr w:type="spellStart"/>
      <w:r>
        <w:t>FoCEA</w:t>
      </w:r>
      <w:proofErr w:type="spellEnd"/>
      <w:r>
        <w:t>. Initiatives qui alimentèrent les expérimentations qui suivirent : le BTAG et le BTSA par unités de valeur, le BEPA « adaptation aux réalités régionales », « </w:t>
      </w:r>
      <w:proofErr w:type="spellStart"/>
      <w:r>
        <w:t>Mespard</w:t>
      </w:r>
      <w:proofErr w:type="spellEnd"/>
      <w:r>
        <w:t> », le CAPA par unités contrôle capitalisables, le contrôle en cours de formation, la formation des 4</w:t>
      </w:r>
      <w:r>
        <w:rPr>
          <w:vertAlign w:val="superscript"/>
        </w:rPr>
        <w:t>e</w:t>
      </w:r>
      <w:r>
        <w:t xml:space="preserve"> et 3</w:t>
      </w:r>
      <w:r>
        <w:rPr>
          <w:vertAlign w:val="superscript"/>
        </w:rPr>
        <w:t>e</w:t>
      </w:r>
      <w:r>
        <w:t xml:space="preserve"> technologiques agricoles. L’engagement de M. Méaille en faveur de l’opération était motivé par sa conviction que l’enseignement agricole issu des lois de 1960 n’était plus en mesure de répondre, alors que les conséquences de la première crise du pétrole bousculent l’économie mondiale, aux exigences de la politique agricole commune, elle-même sous le double choc des surproductions et de l’entrée du Royaume-Uni, de l’Irlande et du Danemark depuis 1973. La directive souleva des oppositions syndicales telles que l’abandon se profilait.</w:t>
      </w:r>
    </w:p>
    <w:p w14:paraId="49ABDD46" w14:textId="77777777" w:rsidR="00716F55" w:rsidRDefault="00000000">
      <w:pPr>
        <w:pStyle w:val="Standard"/>
        <w:spacing w:before="120"/>
        <w:jc w:val="both"/>
        <w:rPr>
          <w:rFonts w:hint="eastAsia"/>
        </w:rPr>
      </w:pPr>
      <w:r>
        <w:t xml:space="preserve">L’élection de F. </w:t>
      </w:r>
      <w:proofErr w:type="spellStart"/>
      <w:r>
        <w:t>Mitterand</w:t>
      </w:r>
      <w:proofErr w:type="spellEnd"/>
      <w:r>
        <w:t xml:space="preserve"> en mai 1981 changea la donne et installa une troisième occasion de contribuer à la transformation de l’enseignement agricole. Si la directive fut oubliée, le successeur de Louis Malassis, Michel Gervais, engagea dès 1982 une transformation profonde du dispositif qui trouva sa consécration parlementaire dans les deux lois de juillet et décembre 1984 « portant rénovation de l’enseignement agricole » : l’INRAP apporta alors à la DGER un concours décisif en apportant des résultats d’expérimentations pédagogiques solidement construits avec les équipes de nombreux lycées et collèges. La réforme du BTA entraîna la généralisation de la réforme à l’ensemble des filières et des diplômes.</w:t>
      </w:r>
    </w:p>
    <w:p w14:paraId="61549255" w14:textId="77777777" w:rsidR="00716F55" w:rsidRDefault="00000000">
      <w:pPr>
        <w:pStyle w:val="Standard"/>
        <w:spacing w:before="120"/>
        <w:jc w:val="both"/>
        <w:rPr>
          <w:rFonts w:hint="eastAsia"/>
        </w:rPr>
      </w:pPr>
      <w:r>
        <w:t>Exigeant toujours une forte implication dans l’action, M. Méaille conduisit l’INRAP dans ces « chantiers de la rénovation » et en fit un acteur majeur de la réussite. Dans le même temps, il joua un rôle particulier bien que discret dans les négociations engagées en 1982 entre l’administration et les fédérations représentatives des établissements privés en animant le groupe de travail qui réfléchissait aux aspects pédagogiques : les lois Rocard sont en partie issues de ces travaux. Et la mobilisation des animateurs et chercheurs de l’INRAP pour l’organisation du colloque de janvier 1985 destiné à acter le renouveau de l’enseignement agricole fut une de ses grandes réussites. En novembre 1985, il rejoignait le Conseil général d’agronomie et présida la Commission professionnelle consultative. En 1986-87, il présida un groupe de travail qui organisa un important colloque consacré à la capacité professionnelle en agriculture. Il prit sa retraite en 1995.</w:t>
      </w:r>
    </w:p>
    <w:p w14:paraId="047EA0CC" w14:textId="77777777" w:rsidR="00716F55" w:rsidRDefault="00000000">
      <w:pPr>
        <w:pStyle w:val="Standard"/>
        <w:spacing w:before="120"/>
        <w:jc w:val="both"/>
        <w:rPr>
          <w:rFonts w:hint="eastAsia"/>
        </w:rPr>
      </w:pPr>
      <w:r>
        <w:t xml:space="preserve">Sous des dehors réservés, c’était un homme affable, maniant un humour discret, attentif et à l’écoute de ses interlocuteurs, bienveillant et exigeant, visionnaire parfois. Sa rigueur intellectuelle reposait sur des convictions humanistes assurées. « Figure centrale du dispositif d’ensemble de l’enseignement agricole » (B. Hervieu), Michel Méaille « fut un témoin important de l’histoire de l’enseignement agricole » (J.C. </w:t>
      </w:r>
      <w:proofErr w:type="spellStart"/>
      <w:r>
        <w:t>Daigney</w:t>
      </w:r>
      <w:proofErr w:type="spellEnd"/>
      <w:r>
        <w:t xml:space="preserve">). « Il se distinguait par sa créativité, son écoute des partenaires, sa capacité à réunir les acteurs autour d’un projet commun » (F. Girard). « La formation des enseignants lui doit encore beaucoup et il a su régénérer celle des agriculteurs sur un modèle transposable à bien des secteurs professionnels » (Y. Le </w:t>
      </w:r>
      <w:proofErr w:type="spellStart"/>
      <w:r>
        <w:t>Norcy</w:t>
      </w:r>
      <w:proofErr w:type="spellEnd"/>
      <w:r>
        <w:t xml:space="preserve">). « J’éprouve ce matin une grande fierté d’avoir partagé et promu, grâce à Monsieur Méaille […] une vision positive, humaniste et généreuse de l’éducation et de la vie » (B. </w:t>
      </w:r>
      <w:proofErr w:type="spellStart"/>
      <w:r>
        <w:t>Laquièze</w:t>
      </w:r>
      <w:proofErr w:type="spellEnd"/>
      <w:r>
        <w:t>). Ces quelques témoignages émanant d’acteurs venant de divers horizons rappellent qui était Michel Méaille : l’histoire de l’enseignement agricole gardera la mémoire de ce qu’il était et de ce qu’il a fait.</w:t>
      </w:r>
    </w:p>
    <w:p w14:paraId="08EB6464" w14:textId="77777777" w:rsidR="00716F55" w:rsidRDefault="00716F55">
      <w:pPr>
        <w:pStyle w:val="Standard"/>
        <w:jc w:val="both"/>
        <w:rPr>
          <w:rFonts w:hint="eastAsia"/>
        </w:rPr>
      </w:pPr>
    </w:p>
    <w:p w14:paraId="4976FF3C" w14:textId="77777777" w:rsidR="00716F55" w:rsidRDefault="00000000">
      <w:pPr>
        <w:pStyle w:val="Standard"/>
        <w:jc w:val="both"/>
        <w:rPr>
          <w:rFonts w:hint="eastAsia"/>
        </w:rPr>
      </w:pPr>
      <w:r>
        <w:t>Edgar Leblanc (15 mars 2026)</w:t>
      </w:r>
    </w:p>
    <w:sectPr w:rsidR="00716F55">
      <w:pgSz w:w="11906" w:h="16838"/>
      <w:pgMar w:top="1134" w:right="1416" w:bottom="1477" w:left="12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D14E1B" w14:textId="77777777" w:rsidR="00BD45CA" w:rsidRDefault="00BD45CA">
      <w:pPr>
        <w:rPr>
          <w:rFonts w:hint="eastAsia"/>
        </w:rPr>
      </w:pPr>
      <w:r>
        <w:separator/>
      </w:r>
    </w:p>
  </w:endnote>
  <w:endnote w:type="continuationSeparator" w:id="0">
    <w:p w14:paraId="22AA00BC" w14:textId="77777777" w:rsidR="00BD45CA" w:rsidRDefault="00BD45C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8CC11" w14:textId="77777777" w:rsidR="00BD45CA" w:rsidRDefault="00BD45CA">
      <w:pPr>
        <w:rPr>
          <w:rFonts w:hint="eastAsia"/>
        </w:rPr>
      </w:pPr>
      <w:r>
        <w:rPr>
          <w:color w:val="000000"/>
        </w:rPr>
        <w:separator/>
      </w:r>
    </w:p>
  </w:footnote>
  <w:footnote w:type="continuationSeparator" w:id="0">
    <w:p w14:paraId="2626F2C7" w14:textId="77777777" w:rsidR="00BD45CA" w:rsidRDefault="00BD45C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attachedTemplate r:id="rId1"/>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716F55"/>
    <w:rsid w:val="00193627"/>
    <w:rsid w:val="00716F55"/>
    <w:rsid w:val="00730448"/>
    <w:rsid w:val="00BD45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C547907"/>
  <w15:docId w15:val="{7DA0206D-E17E-B747-8FC1-2657F7BA9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3"/>
        <w:sz w:val="24"/>
        <w:szCs w:val="24"/>
        <w:lang w:val="fr-FR"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1293</Words>
  <Characters>7117</Characters>
  <Application>Microsoft Office Word</Application>
  <DocSecurity>0</DocSecurity>
  <Lines>59</Lines>
  <Paragraphs>16</Paragraphs>
  <ScaleCrop>false</ScaleCrop>
  <Company/>
  <LinksUpToDate>false</LinksUpToDate>
  <CharactersWithSpaces>8394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Edgar</dc:creator>
  <cp:lastModifiedBy>Françoise Savy</cp:lastModifiedBy>
  <cp:revision>2</cp:revision>
  <dcterms:created xsi:type="dcterms:W3CDTF">2026-04-23T13:22:00Z</dcterms:created>
  <dcterms:modified xsi:type="dcterms:W3CDTF">2026-04-23T13:22:00Z</dcterms:modified>
</cp:coreProperties>
</file>